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1-3-2806/2025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MS0080-01-2025-000048-88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160" w:line="259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31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Addressgrp-0rplc-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</w:tr>
    </w:tbl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в составе председательствующего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</w:t>
      </w:r>
      <w:r>
        <w:rPr>
          <w:rFonts w:ascii="Times New Roman" w:eastAsia="Times New Roman" w:hAnsi="Times New Roman" w:cs="Times New Roman"/>
          <w:sz w:val="28"/>
          <w:szCs w:val="28"/>
        </w:rPr>
        <w:t>ем государственных обвинителей - помощников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Style w:val="cat-UserDefinedgrp-4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UserDefinedgrp-4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FIOgrp-2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 удостоверение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1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ании уголовное дело в отношении Бронникова </w:t>
      </w:r>
      <w:r>
        <w:rPr>
          <w:rStyle w:val="cat-UserDefinedgrp-3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по адресу: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учащегося 2 курса Национального социально-педагогического колледжа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основное </w:t>
      </w:r>
      <w:r>
        <w:rPr>
          <w:rFonts w:ascii="Times New Roman" w:eastAsia="Times New Roman" w:hAnsi="Times New Roman" w:cs="Times New Roman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военнообязанно</w:t>
      </w:r>
      <w:r>
        <w:rPr>
          <w:rFonts w:ascii="Times New Roman" w:eastAsia="Times New Roman" w:hAnsi="Times New Roman" w:cs="Times New Roman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находящегося на подписке о невыезде и надлежащем поведении, не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</w:t>
      </w:r>
      <w:r>
        <w:rPr>
          <w:rFonts w:ascii="Times New Roman" w:eastAsia="Times New Roman" w:hAnsi="Times New Roman" w:cs="Times New Roman"/>
          <w:sz w:val="28"/>
          <w:szCs w:val="28"/>
        </w:rPr>
        <w:t>реступления, предусмотренного частью 1 статьи 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160" w:line="259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незаконном проникновении в жилище, совершенном против воли проживающего в нем лица при следующих обстоятельствах.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времени с 23 часов 00 минут 19.05.2024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01 часа 46 минут 20.05.2024, более точное время следствием не установлено, несовершеннолетний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выделено уголовное дело в отдельное производство, будучи в состоянии опьянения, вызванном употреблением алкогол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и </w:t>
      </w:r>
      <w:r>
        <w:rPr>
          <w:rStyle w:val="cat-FIOgrp-2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2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перед домом, расположенным по адресу: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являющимся жилищем </w:t>
      </w:r>
      <w:r>
        <w:rPr>
          <w:rStyle w:val="cat-UserDefinedgrp-48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3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осознавая общественную опасность и противоправность своих действий, достоверно зная то, что они не являются собственниками и жильцами данного жилого помещения, действуя совместно, с прямым умыслом на незаконное проникновение в указанное жилище, против воли проживающего в </w:t>
      </w:r>
      <w:r>
        <w:rPr>
          <w:rStyle w:val="cat-UserDefinedgrp-46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8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который не давал разрешения входить в свое жилище, осознавая, что своими совместными действиями нарушают конституционное </w:t>
      </w:r>
      <w:r>
        <w:rPr>
          <w:rStyle w:val="cat-UserDefinedgrp-45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8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неприкосновенность жилища, гарантированное статьей 25 Конституции Российской Федерации (принята всенародным голосованием 12.12.1993) и, желая этого, не имея разрешительных документов и законных оснований на проникновение в указанную квартиру, подошли к окну вышеуказанной квартиры, расположенному на первом этаже, после чего </w:t>
      </w:r>
      <w:r>
        <w:rPr>
          <w:rStyle w:val="cat-FIOgrp-25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помощи силы рук надавил на вышеуказанное окно, тем самым открыв его и обеспечив беспрепятственный доступ себе и несовершеннолетнему </w:t>
      </w:r>
      <w:r>
        <w:rPr>
          <w:rStyle w:val="cat-FIOgrp-24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жилище, с целью незаконного проникновения. После чего в тот же период времени, в том же месте, </w:t>
      </w:r>
      <w:r>
        <w:rPr>
          <w:rStyle w:val="cat-FIOgrp-25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несовершеннолетний </w:t>
      </w:r>
      <w:r>
        <w:rPr>
          <w:rStyle w:val="cat-FIOgrp-24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умышленно, совместно и согласованно друг с другом, группой лиц, с целью нарушения права </w:t>
      </w:r>
      <w:r>
        <w:rPr>
          <w:rStyle w:val="cat-UserDefinedgrp-48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2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на неприкосновенность его жилища, через открытое вышеуказанное окно незаконн</w:t>
      </w:r>
      <w:r>
        <w:rPr>
          <w:rFonts w:ascii="Times New Roman" w:eastAsia="Times New Roman" w:hAnsi="Times New Roman" w:cs="Times New Roman"/>
          <w:sz w:val="28"/>
          <w:szCs w:val="28"/>
        </w:rPr>
        <w:t>о проникли в квартиру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 расположенную по адресу: </w:t>
      </w:r>
      <w:r>
        <w:rPr>
          <w:rStyle w:val="cat-Addressgrp-6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конституционное право потерпевшего </w:t>
      </w:r>
      <w:r>
        <w:rPr>
          <w:rStyle w:val="cat-UserDefinedgrp-48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на неприкосновенность жилища, закрепленное в статье 25 Конституции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преступными действиями </w:t>
      </w:r>
      <w:r>
        <w:rPr>
          <w:rStyle w:val="cat-FIOgrp-25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несовершеннолетний </w:t>
      </w:r>
      <w:r>
        <w:rPr>
          <w:rStyle w:val="cat-FIOgrp-24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нарушили конституционное право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отерпевшего </w:t>
      </w:r>
      <w:r>
        <w:rPr>
          <w:rStyle w:val="cat-UserDefinedgrp-48rplc-6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7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.И. на неприкосновенность жилища, закрепленное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татье 25 Конституции Россий</w:t>
      </w:r>
      <w:r>
        <w:rPr>
          <w:rFonts w:ascii="Times New Roman" w:eastAsia="Times New Roman" w:hAnsi="Times New Roman" w:cs="Times New Roman"/>
          <w:sz w:val="28"/>
          <w:szCs w:val="28"/>
        </w:rPr>
        <w:t>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едерации, причинив ему моральный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24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 1 ст. 139 Уголовного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незаконное проникновение в жилище, совершенное против воли проживающего в нем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от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отерпевшего </w:t>
      </w:r>
      <w:r>
        <w:rPr>
          <w:rStyle w:val="cat-UserDefinedgrp-48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 ходатайство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примирением, последствия прекращения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примирением сторон ему разъяснены и понятны.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загладил причиненный вред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извинений и </w:t>
      </w:r>
      <w:r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Style w:val="cat-Sumgrp-29rplc-7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мер достаточно.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Style w:val="cat-FIOgrp-24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право возражать против прекращения уголовного дела по указанному основанию, а также последствия прекращения уголовного дела по нереабилитирующим</w:t>
      </w:r>
      <w:r>
        <w:rPr>
          <w:rFonts w:ascii="Times New Roman" w:eastAsia="Times New Roman" w:hAnsi="Times New Roman" w:cs="Times New Roman"/>
          <w:sz w:val="28"/>
          <w:szCs w:val="28"/>
        </w:rPr>
        <w:t>у основанию</w:t>
      </w:r>
      <w:r>
        <w:rPr>
          <w:rFonts w:ascii="Times New Roman" w:eastAsia="Times New Roman" w:hAnsi="Times New Roman" w:cs="Times New Roman"/>
          <w:sz w:val="28"/>
          <w:szCs w:val="28"/>
        </w:rPr>
        <w:t>.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что, загладил вред потерпевшему и примирил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ним, с прекращением уголовного дела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полагал, что ходатайство подлежит удовлетворению.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Style w:val="cat-UserDefinedgrp-49rplc-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мнение сторон, суд находит ходатайство о прекращении уголовного дела в связи с примирением сторон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 УПК РФ, ст.76 УК РФ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в совершении которого обвиняется </w:t>
      </w:r>
      <w:r>
        <w:rPr>
          <w:rStyle w:val="cat-FIOgrp-24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ч. 2 ст. 15 УК РФ является преступлением небольшой тяжести.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закона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совершившего преступление, после заглаживания вреда и примирения с потерпевшим, личность совершившего преступление.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во внимание, что </w:t>
      </w:r>
      <w:r>
        <w:rPr>
          <w:rStyle w:val="cat-FIOgrp-24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 на учете у врача-псих</w:t>
      </w:r>
      <w:r>
        <w:rPr>
          <w:rFonts w:ascii="Times New Roman" w:eastAsia="Times New Roman" w:hAnsi="Times New Roman" w:cs="Times New Roman"/>
          <w:sz w:val="28"/>
          <w:szCs w:val="28"/>
        </w:rPr>
        <w:t>иатра и врача-нарколога (том 2 л.д. 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УУП ОУУП и </w:t>
      </w:r>
      <w:r>
        <w:rPr>
          <w:rStyle w:val="cat-Addressgrp-9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 характеризуется по ме</w:t>
      </w:r>
      <w:r>
        <w:rPr>
          <w:rFonts w:ascii="Times New Roman" w:eastAsia="Times New Roman" w:hAnsi="Times New Roman" w:cs="Times New Roman"/>
          <w:sz w:val="28"/>
          <w:szCs w:val="28"/>
        </w:rPr>
        <w:t>сту жительства отрицательно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>
        <w:rPr>
          <w:rFonts w:ascii="Times New Roman" w:eastAsia="Times New Roman" w:hAnsi="Times New Roman" w:cs="Times New Roman"/>
          <w:sz w:val="28"/>
          <w:szCs w:val="28"/>
        </w:rPr>
        <w:t>94), привлекался к административной ответственности (том 2 л.д. 34-35, 54), не судим</w:t>
      </w:r>
      <w:r>
        <w:rPr>
          <w:rFonts w:ascii="Times New Roman" w:eastAsia="Times New Roman" w:hAnsi="Times New Roman" w:cs="Times New Roman"/>
          <w:sz w:val="28"/>
          <w:szCs w:val="28"/>
        </w:rPr>
        <w:t>, причиненный потерпевшему вред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принимая решение о прекращении уголовного дела в отношении </w:t>
      </w:r>
      <w:r>
        <w:rPr>
          <w:rStyle w:val="cat-FIOgrp-21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</w:rPr>
        <w:t>вязи с примирением с 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учитывает позиц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потерпевшего, который указал, что </w:t>
      </w:r>
      <w:r>
        <w:rPr>
          <w:rStyle w:val="cat-FIOgrp-24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загладил причиненный вред, </w:t>
      </w:r>
      <w:r>
        <w:rPr>
          <w:rFonts w:ascii="Times New Roman" w:eastAsia="Times New Roman" w:hAnsi="Times New Roman" w:cs="Times New Roman"/>
          <w:sz w:val="28"/>
          <w:szCs w:val="28"/>
        </w:rPr>
        <w:t>принес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 </w:t>
      </w:r>
      <w:r>
        <w:rPr>
          <w:rFonts w:ascii="Times New Roman" w:eastAsia="Times New Roman" w:hAnsi="Times New Roman" w:cs="Times New Roman"/>
          <w:sz w:val="28"/>
          <w:szCs w:val="28"/>
        </w:rPr>
        <w:t>изви</w:t>
      </w:r>
      <w:r>
        <w:rPr>
          <w:rFonts w:ascii="Times New Roman" w:eastAsia="Times New Roman" w:hAnsi="Times New Roman" w:cs="Times New Roman"/>
          <w:sz w:val="28"/>
          <w:szCs w:val="28"/>
        </w:rPr>
        <w:t>нения, вследствие чего примирился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ним, и не возражает против прекращения уголовного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Данных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 ходатайство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добровольно и основано на принуждении, материалы дела не содержат, наличие указанных обстоятельств, сторонами отрицается.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отказа в удовле</w:t>
      </w:r>
      <w:r>
        <w:rPr>
          <w:rFonts w:ascii="Times New Roman" w:eastAsia="Times New Roman" w:hAnsi="Times New Roman" w:cs="Times New Roman"/>
          <w:sz w:val="28"/>
          <w:szCs w:val="28"/>
        </w:rPr>
        <w:t>творении ходатайства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св</w:t>
      </w:r>
      <w:r>
        <w:rPr>
          <w:rFonts w:ascii="Times New Roman" w:eastAsia="Times New Roman" w:hAnsi="Times New Roman" w:cs="Times New Roman"/>
          <w:sz w:val="28"/>
          <w:szCs w:val="28"/>
        </w:rPr>
        <w:t>язи с примирением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установлено, условия освобождения от уголовной ответственности, в связи с примирением с потерпевшим, установленные статьями 25 Уголовно-процессуального кодекса Российской Федерации и 76 Уголовного кодекса Российской Федерации соблюдены. </w:t>
      </w:r>
    </w:p>
    <w:p>
      <w:pPr>
        <w:spacing w:before="0" w:after="0"/>
        <w:ind w:right="3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</w:t>
      </w:r>
      <w:r>
        <w:rPr>
          <w:rStyle w:val="cat-FIOgrp-21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подписку о невыезде и надлежащем поведении следует отменить по вступлении постановления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</w:t>
      </w:r>
      <w:r>
        <w:rPr>
          <w:rStyle w:val="cat-UserDefinedgrp-48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2rplc-8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20rplc-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24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вреда, причиненного преступлением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рассмотрения, </w:t>
      </w:r>
      <w:r>
        <w:rPr>
          <w:rFonts w:ascii="Times New Roman" w:eastAsia="Times New Roman" w:hAnsi="Times New Roman" w:cs="Times New Roman"/>
          <w:sz w:val="28"/>
          <w:szCs w:val="28"/>
        </w:rPr>
        <w:t>с разъяснением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обращение с данным иском в порядке гражданского судопроизводства.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25, 239, 254, 256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Уголовно-процессуального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160" w:line="259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уголовному делу в отношении </w:t>
      </w:r>
      <w:r>
        <w:rPr>
          <w:rStyle w:val="cat-FIOgrp-23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8rplc-9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статьи 25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освободив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</w:t>
      </w:r>
      <w:r>
        <w:rPr>
          <w:rStyle w:val="cat-FIOgrp-23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8rplc-9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подписку о невыезде и надлежащем поведении - отменить по вступлении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Гражданский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9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0rplc-9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Бронникову </w:t>
      </w:r>
      <w:r>
        <w:rPr>
          <w:rStyle w:val="cat-UserDefinedgrp-51rplc-9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компенсации морального 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еда, причиненного преступлением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рассмотрения, разъяснив право на обращение с данным иском в порядке гражданского судопроизводства.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Ханты-Мансийский районный суд Ханты-Мансийского автономного округа-Югры в течение 15 суток со дня его вынесения, путем подачи апелляционной жалобы (представления) через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2rplc-9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должен заявить в апелляционной жалобе или возражении на апелляционную жалобу (представление), а также вправе поручить осуществление своей защиты избранному защитнику либо ходатайствовать перед судом о назначении защитника.</w:t>
      </w:r>
    </w:p>
    <w:p>
      <w:pPr>
        <w:pBdr>
          <w:top w:val="none" w:sz="0" w:space="0" w:color="auto"/>
          <w:left w:val="none" w:sz="0" w:space="0" w:color="auto"/>
          <w:bottom w:val="single" w:sz="6" w:space="31" w:color="FFFFFF"/>
          <w:right w:val="none" w:sz="0" w:space="0" w:color="auto"/>
        </w:pBdr>
        <w:spacing w:before="0" w:after="0"/>
        <w:ind w:firstLine="567"/>
        <w:jc w:val="both"/>
        <w:rPr>
          <w:sz w:val="28"/>
          <w:szCs w:val="28"/>
        </w:rPr>
      </w:pPr>
    </w:p>
    <w:p>
      <w:pPr>
        <w:pBdr>
          <w:top w:val="none" w:sz="0" w:space="0" w:color="auto"/>
          <w:left w:val="none" w:sz="0" w:space="0" w:color="auto"/>
          <w:bottom w:val="single" w:sz="6" w:space="31" w:color="FFFFFF"/>
          <w:right w:val="none" w:sz="0" w:space="0" w:color="auto"/>
        </w:pBdr>
        <w:spacing w:before="0" w:after="0"/>
        <w:ind w:firstLine="567"/>
        <w:jc w:val="both"/>
        <w:rPr>
          <w:sz w:val="28"/>
          <w:szCs w:val="28"/>
        </w:rPr>
      </w:pPr>
    </w:p>
    <w:p>
      <w:pPr>
        <w:pBdr>
          <w:top w:val="none" w:sz="0" w:space="0" w:color="auto"/>
          <w:left w:val="none" w:sz="0" w:space="0" w:color="auto"/>
          <w:bottom w:val="single" w:sz="6" w:space="31" w:color="FFFFFF"/>
          <w:right w:val="none" w:sz="0" w:space="0" w:color="auto"/>
        </w:pBd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FIOgrp-28rplc-1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single" w:sz="6" w:space="31" w:color="FFFFFF"/>
          <w:right w:val="none" w:sz="0" w:space="0" w:color="auto"/>
        </w:pBdr>
        <w:spacing w:before="0" w:after="0"/>
        <w:jc w:val="both"/>
        <w:rPr>
          <w:sz w:val="28"/>
          <w:szCs w:val="28"/>
        </w:rPr>
      </w:pPr>
    </w:p>
    <w:p>
      <w:pPr>
        <w:pBdr>
          <w:top w:val="none" w:sz="0" w:space="0" w:color="auto"/>
          <w:left w:val="none" w:sz="0" w:space="0" w:color="auto"/>
          <w:bottom w:val="single" w:sz="6" w:space="31" w:color="FFFFFF"/>
          <w:right w:val="none" w:sz="0" w:space="0" w:color="auto"/>
        </w:pBd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pBdr>
          <w:top w:val="none" w:sz="0" w:space="0" w:color="auto"/>
          <w:left w:val="none" w:sz="0" w:space="0" w:color="auto"/>
          <w:bottom w:val="single" w:sz="6" w:space="31" w:color="FFFFFF"/>
          <w:right w:val="none" w:sz="0" w:space="0" w:color="auto"/>
        </w:pBdr>
        <w:spacing w:before="0" w:after="2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28rplc-1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8rplc-12">
    <w:name w:val="cat-UserDefined grp-48 rplc-12"/>
    <w:basedOn w:val="DefaultParagraphFont"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PassportDatagrp-30rplc-22">
    <w:name w:val="cat-PassportData grp-30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FIOgrp-24rplc-26">
    <w:name w:val="cat-FIO grp-24 rplc-26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ExternalSystemDefinedgrp-37rplc-32">
    <w:name w:val="cat-ExternalSystemDefined grp-37 rplc-32"/>
    <w:basedOn w:val="DefaultParagraphFont"/>
  </w:style>
  <w:style w:type="character" w:customStyle="1" w:styleId="cat-PassportDatagrp-31rplc-33">
    <w:name w:val="cat-PassportData grp-31 rplc-33"/>
    <w:basedOn w:val="DefaultParagraphFont"/>
  </w:style>
  <w:style w:type="character" w:customStyle="1" w:styleId="cat-FIOgrp-25rplc-34">
    <w:name w:val="cat-FIO grp-25 rplc-34"/>
    <w:basedOn w:val="DefaultParagraphFont"/>
  </w:style>
  <w:style w:type="character" w:customStyle="1" w:styleId="cat-PassportDatagrp-32rplc-35">
    <w:name w:val="cat-PassportData grp-32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UserDefinedgrp-48rplc-38">
    <w:name w:val="cat-UserDefined grp-48 rplc-38"/>
    <w:basedOn w:val="DefaultParagraphFont"/>
  </w:style>
  <w:style w:type="character" w:customStyle="1" w:styleId="cat-UserDefinedgrp-43rplc-41">
    <w:name w:val="cat-UserDefined grp-43 rplc-41"/>
    <w:basedOn w:val="DefaultParagraphFont"/>
  </w:style>
  <w:style w:type="character" w:customStyle="1" w:styleId="cat-UserDefinedgrp-46rplc-42">
    <w:name w:val="cat-UserDefined grp-46 rplc-42"/>
    <w:basedOn w:val="DefaultParagraphFont"/>
  </w:style>
  <w:style w:type="character" w:customStyle="1" w:styleId="cat-UserDefinedgrp-48rplc-43">
    <w:name w:val="cat-UserDefined grp-48 rplc-43"/>
    <w:basedOn w:val="DefaultParagraphFont"/>
  </w:style>
  <w:style w:type="character" w:customStyle="1" w:styleId="cat-UserDefinedgrp-45rplc-47">
    <w:name w:val="cat-UserDefined grp-45 rplc-47"/>
    <w:basedOn w:val="DefaultParagraphFont"/>
  </w:style>
  <w:style w:type="character" w:customStyle="1" w:styleId="cat-UserDefinedgrp-48rplc-48">
    <w:name w:val="cat-UserDefined grp-48 rplc-48"/>
    <w:basedOn w:val="DefaultParagraphFont"/>
  </w:style>
  <w:style w:type="character" w:customStyle="1" w:styleId="cat-FIOgrp-25rplc-53">
    <w:name w:val="cat-FIO grp-25 rplc-53"/>
    <w:basedOn w:val="DefaultParagraphFont"/>
  </w:style>
  <w:style w:type="character" w:customStyle="1" w:styleId="cat-FIOgrp-24rplc-54">
    <w:name w:val="cat-FIO grp-24 rplc-54"/>
    <w:basedOn w:val="DefaultParagraphFont"/>
  </w:style>
  <w:style w:type="character" w:customStyle="1" w:styleId="cat-FIOgrp-25rplc-55">
    <w:name w:val="cat-FIO grp-25 rplc-55"/>
    <w:basedOn w:val="DefaultParagraphFont"/>
  </w:style>
  <w:style w:type="character" w:customStyle="1" w:styleId="cat-FIOgrp-24rplc-56">
    <w:name w:val="cat-FIO grp-24 rplc-56"/>
    <w:basedOn w:val="DefaultParagraphFont"/>
  </w:style>
  <w:style w:type="character" w:customStyle="1" w:styleId="cat-UserDefinedgrp-48rplc-57">
    <w:name w:val="cat-UserDefined grp-48 rplc-57"/>
    <w:basedOn w:val="DefaultParagraphFont"/>
  </w:style>
  <w:style w:type="character" w:customStyle="1" w:styleId="cat-UserDefinedgrp-42rplc-58">
    <w:name w:val="cat-UserDefined grp-42 rplc-58"/>
    <w:basedOn w:val="DefaultParagraphFont"/>
  </w:style>
  <w:style w:type="character" w:customStyle="1" w:styleId="cat-Addressgrp-6rplc-60">
    <w:name w:val="cat-Address grp-6 rplc-60"/>
    <w:basedOn w:val="DefaultParagraphFont"/>
  </w:style>
  <w:style w:type="character" w:customStyle="1" w:styleId="cat-Addressgrp-8rplc-61">
    <w:name w:val="cat-Address grp-8 rplc-61"/>
    <w:basedOn w:val="DefaultParagraphFont"/>
  </w:style>
  <w:style w:type="character" w:customStyle="1" w:styleId="cat-UserDefinedgrp-48rplc-62">
    <w:name w:val="cat-UserDefined grp-48 rplc-62"/>
    <w:basedOn w:val="DefaultParagraphFont"/>
  </w:style>
  <w:style w:type="character" w:customStyle="1" w:styleId="cat-FIOgrp-25rplc-65">
    <w:name w:val="cat-FIO grp-25 rplc-65"/>
    <w:basedOn w:val="DefaultParagraphFont"/>
  </w:style>
  <w:style w:type="character" w:customStyle="1" w:styleId="cat-FIOgrp-24rplc-66">
    <w:name w:val="cat-FIO grp-24 rplc-66"/>
    <w:basedOn w:val="DefaultParagraphFont"/>
  </w:style>
  <w:style w:type="character" w:customStyle="1" w:styleId="cat-UserDefinedgrp-48rplc-67">
    <w:name w:val="cat-UserDefined grp-48 rplc-67"/>
    <w:basedOn w:val="DefaultParagraphFont"/>
  </w:style>
  <w:style w:type="character" w:customStyle="1" w:styleId="cat-UserDefinedgrp-47rplc-68">
    <w:name w:val="cat-UserDefined grp-47 rplc-68"/>
    <w:basedOn w:val="DefaultParagraphFont"/>
  </w:style>
  <w:style w:type="character" w:customStyle="1" w:styleId="cat-FIOgrp-24rplc-71">
    <w:name w:val="cat-FIO grp-24 rplc-71"/>
    <w:basedOn w:val="DefaultParagraphFont"/>
  </w:style>
  <w:style w:type="character" w:customStyle="1" w:styleId="cat-UserDefinedgrp-48rplc-72">
    <w:name w:val="cat-UserDefined grp-48 rplc-72"/>
    <w:basedOn w:val="DefaultParagraphFont"/>
  </w:style>
  <w:style w:type="character" w:customStyle="1" w:styleId="cat-Sumgrp-29rplc-75">
    <w:name w:val="cat-Sum grp-29 rplc-75"/>
    <w:basedOn w:val="DefaultParagraphFont"/>
  </w:style>
  <w:style w:type="character" w:customStyle="1" w:styleId="cat-FIOgrp-24rplc-76">
    <w:name w:val="cat-FIO grp-24 rplc-76"/>
    <w:basedOn w:val="DefaultParagraphFont"/>
  </w:style>
  <w:style w:type="character" w:customStyle="1" w:styleId="cat-UserDefinedgrp-49rplc-77">
    <w:name w:val="cat-UserDefined grp-49 rplc-77"/>
    <w:basedOn w:val="DefaultParagraphFont"/>
  </w:style>
  <w:style w:type="character" w:customStyle="1" w:styleId="cat-FIOgrp-24rplc-79">
    <w:name w:val="cat-FIO grp-24 rplc-79"/>
    <w:basedOn w:val="DefaultParagraphFont"/>
  </w:style>
  <w:style w:type="character" w:customStyle="1" w:styleId="cat-FIOgrp-24rplc-80">
    <w:name w:val="cat-FIO grp-24 rplc-80"/>
    <w:basedOn w:val="DefaultParagraphFont"/>
  </w:style>
  <w:style w:type="character" w:customStyle="1" w:styleId="cat-Addressgrp-9rplc-81">
    <w:name w:val="cat-Address grp-9 rplc-81"/>
    <w:basedOn w:val="DefaultParagraphFont"/>
  </w:style>
  <w:style w:type="character" w:customStyle="1" w:styleId="cat-FIOgrp-21rplc-82">
    <w:name w:val="cat-FIO grp-21 rplc-82"/>
    <w:basedOn w:val="DefaultParagraphFont"/>
  </w:style>
  <w:style w:type="character" w:customStyle="1" w:styleId="cat-FIOgrp-24rplc-83">
    <w:name w:val="cat-FIO grp-24 rplc-83"/>
    <w:basedOn w:val="DefaultParagraphFont"/>
  </w:style>
  <w:style w:type="character" w:customStyle="1" w:styleId="cat-FIOgrp-21rplc-84">
    <w:name w:val="cat-FIO grp-21 rplc-84"/>
    <w:basedOn w:val="DefaultParagraphFont"/>
  </w:style>
  <w:style w:type="character" w:customStyle="1" w:styleId="cat-UserDefinedgrp-48rplc-85">
    <w:name w:val="cat-UserDefined grp-48 rplc-85"/>
    <w:basedOn w:val="DefaultParagraphFont"/>
  </w:style>
  <w:style w:type="character" w:customStyle="1" w:styleId="cat-UserDefinedgrp-42rplc-86">
    <w:name w:val="cat-UserDefined grp-42 rplc-86"/>
    <w:basedOn w:val="DefaultParagraphFont"/>
  </w:style>
  <w:style w:type="character" w:customStyle="1" w:styleId="cat-FIOgrp-20rplc-87">
    <w:name w:val="cat-FIO grp-20 rplc-87"/>
    <w:basedOn w:val="DefaultParagraphFont"/>
  </w:style>
  <w:style w:type="character" w:customStyle="1" w:styleId="cat-FIOgrp-24rplc-88">
    <w:name w:val="cat-FIO grp-24 rplc-88"/>
    <w:basedOn w:val="DefaultParagraphFont"/>
  </w:style>
  <w:style w:type="character" w:customStyle="1" w:styleId="cat-FIOgrp-23rplc-89">
    <w:name w:val="cat-FIO grp-23 rplc-89"/>
    <w:basedOn w:val="DefaultParagraphFont"/>
  </w:style>
  <w:style w:type="character" w:customStyle="1" w:styleId="cat-UserDefinedgrp-38rplc-90">
    <w:name w:val="cat-UserDefined grp-38 rplc-90"/>
    <w:basedOn w:val="DefaultParagraphFont"/>
  </w:style>
  <w:style w:type="character" w:customStyle="1" w:styleId="cat-FIOgrp-23rplc-91">
    <w:name w:val="cat-FIO grp-23 rplc-91"/>
    <w:basedOn w:val="DefaultParagraphFont"/>
  </w:style>
  <w:style w:type="character" w:customStyle="1" w:styleId="cat-UserDefinedgrp-38rplc-92">
    <w:name w:val="cat-UserDefined grp-38 rplc-92"/>
    <w:basedOn w:val="DefaultParagraphFont"/>
  </w:style>
  <w:style w:type="character" w:customStyle="1" w:styleId="cat-UserDefinedgrp-48rplc-93">
    <w:name w:val="cat-UserDefined grp-48 rplc-93"/>
    <w:basedOn w:val="DefaultParagraphFont"/>
  </w:style>
  <w:style w:type="character" w:customStyle="1" w:styleId="cat-UserDefinedgrp-50rplc-95">
    <w:name w:val="cat-UserDefined grp-50 rplc-95"/>
    <w:basedOn w:val="DefaultParagraphFont"/>
  </w:style>
  <w:style w:type="character" w:customStyle="1" w:styleId="cat-UserDefinedgrp-51rplc-97">
    <w:name w:val="cat-UserDefined grp-51 rplc-97"/>
    <w:basedOn w:val="DefaultParagraphFont"/>
  </w:style>
  <w:style w:type="character" w:customStyle="1" w:styleId="cat-Addressgrp-2rplc-98">
    <w:name w:val="cat-Address grp-2 rplc-98"/>
    <w:basedOn w:val="DefaultParagraphFont"/>
  </w:style>
  <w:style w:type="character" w:customStyle="1" w:styleId="cat-Addressgrp-3rplc-99">
    <w:name w:val="cat-Address grp-3 rplc-99"/>
    <w:basedOn w:val="DefaultParagraphFont"/>
  </w:style>
  <w:style w:type="character" w:customStyle="1" w:styleId="cat-FIOgrp-28rplc-100">
    <w:name w:val="cat-FIO grp-28 rplc-100"/>
    <w:basedOn w:val="DefaultParagraphFont"/>
  </w:style>
  <w:style w:type="character" w:customStyle="1" w:styleId="cat-FIOgrp-28rplc-101">
    <w:name w:val="cat-FIO grp-28 rplc-10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